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91D2" w14:textId="77777777" w:rsidR="006D33AE" w:rsidRPr="00C61E3C" w:rsidRDefault="006D33AE">
      <w:pPr>
        <w:rPr>
          <w:rFonts w:ascii="Century Gothic" w:hAnsi="Century Gothic"/>
          <w:b/>
          <w:bCs/>
          <w:sz w:val="28"/>
          <w:szCs w:val="28"/>
        </w:rPr>
      </w:pPr>
    </w:p>
    <w:p w14:paraId="2B0EEB14" w14:textId="1C91A5C7" w:rsidR="00326027" w:rsidRPr="00C61E3C" w:rsidRDefault="004F4333">
      <w:pPr>
        <w:rPr>
          <w:rFonts w:ascii="Century Gothic" w:hAnsi="Century Gothic"/>
          <w:b/>
          <w:bCs/>
          <w:sz w:val="28"/>
          <w:szCs w:val="28"/>
        </w:rPr>
      </w:pPr>
      <w:r w:rsidRPr="00C61E3C">
        <w:rPr>
          <w:rFonts w:ascii="Century Gothic" w:hAnsi="Century Gothic"/>
          <w:b/>
          <w:bCs/>
          <w:sz w:val="28"/>
          <w:szCs w:val="28"/>
        </w:rPr>
        <w:t>Where to locate your Mars Base</w:t>
      </w:r>
    </w:p>
    <w:p w14:paraId="5ED1454D" w14:textId="59325236" w:rsidR="004F4333" w:rsidRPr="00C61E3C" w:rsidRDefault="004F4333">
      <w:pPr>
        <w:rPr>
          <w:rFonts w:ascii="Century Gothic" w:hAnsi="Century Gothic"/>
        </w:rPr>
      </w:pPr>
    </w:p>
    <w:p w14:paraId="7A88C797" w14:textId="4755A49A" w:rsidR="006D33AE" w:rsidRPr="00E14704" w:rsidRDefault="006D33AE">
      <w:pPr>
        <w:rPr>
          <w:rFonts w:ascii="Century Gothic" w:hAnsi="Century Gothic"/>
          <w:b/>
          <w:bCs/>
          <w:sz w:val="20"/>
          <w:szCs w:val="20"/>
        </w:rPr>
      </w:pPr>
      <w:r w:rsidRPr="00E14704">
        <w:rPr>
          <w:rFonts w:ascii="Century Gothic" w:hAnsi="Century Gothic"/>
          <w:b/>
          <w:bCs/>
          <w:sz w:val="20"/>
          <w:szCs w:val="20"/>
        </w:rPr>
        <w:t>Use the Mars Atlas or the online quadrangles to find the sites</w:t>
      </w:r>
      <w:r w:rsidR="00C61E3C" w:rsidRPr="00E14704">
        <w:rPr>
          <w:rFonts w:ascii="Century Gothic" w:hAnsi="Century Gothic"/>
          <w:b/>
          <w:bCs/>
          <w:sz w:val="20"/>
          <w:szCs w:val="20"/>
        </w:rPr>
        <w:t xml:space="preserve"> listed below. Discuss the pros and cons for each location as a potential human settlement on Mars.</w:t>
      </w:r>
    </w:p>
    <w:p w14:paraId="3B83B258" w14:textId="77777777" w:rsidR="006D33AE" w:rsidRPr="00E14704" w:rsidRDefault="006D33AE">
      <w:pPr>
        <w:rPr>
          <w:rFonts w:ascii="Century Gothic" w:hAnsi="Century Gothic"/>
          <w:sz w:val="20"/>
          <w:szCs w:val="20"/>
        </w:rPr>
      </w:pPr>
    </w:p>
    <w:p w14:paraId="1D4406E8" w14:textId="36058B98" w:rsidR="004F4333" w:rsidRPr="00E14704" w:rsidRDefault="002A041B" w:rsidP="00C61E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14704">
        <w:rPr>
          <w:rFonts w:ascii="Century Gothic" w:hAnsi="Century Gothic"/>
          <w:b/>
          <w:bCs/>
          <w:sz w:val="20"/>
          <w:szCs w:val="20"/>
        </w:rPr>
        <w:t xml:space="preserve">Lava tube at Pavonis Mons, </w:t>
      </w:r>
      <w:proofErr w:type="spellStart"/>
      <w:r w:rsidRPr="00E14704">
        <w:rPr>
          <w:rFonts w:ascii="Century Gothic" w:hAnsi="Century Gothic"/>
          <w:b/>
          <w:bCs/>
          <w:sz w:val="20"/>
          <w:szCs w:val="20"/>
        </w:rPr>
        <w:t>Tharsis</w:t>
      </w:r>
      <w:proofErr w:type="spellEnd"/>
      <w:r w:rsidRPr="00E14704">
        <w:rPr>
          <w:rFonts w:ascii="Century Gothic" w:hAnsi="Century Gothic"/>
          <w:b/>
          <w:bCs/>
          <w:sz w:val="20"/>
          <w:szCs w:val="20"/>
        </w:rPr>
        <w:t>:</w:t>
      </w:r>
      <w:r w:rsidRPr="00E14704">
        <w:rPr>
          <w:rFonts w:ascii="Century Gothic" w:hAnsi="Century Gothic"/>
          <w:sz w:val="20"/>
          <w:szCs w:val="20"/>
        </w:rPr>
        <w:t xml:space="preserve"> Excellent protection from radiation for humans in lava tube caves. Scientific insights into Mars’s volcanic history and planet’s interior and climate. Uncertain access to water</w:t>
      </w:r>
      <w:r w:rsidR="001E3E6A" w:rsidRPr="00E14704">
        <w:rPr>
          <w:rFonts w:ascii="Century Gothic" w:hAnsi="Century Gothic"/>
          <w:sz w:val="20"/>
          <w:szCs w:val="20"/>
        </w:rPr>
        <w:t xml:space="preserve"> for life support</w:t>
      </w:r>
      <w:r w:rsidRPr="00E14704">
        <w:rPr>
          <w:rFonts w:ascii="Century Gothic" w:hAnsi="Century Gothic"/>
          <w:sz w:val="20"/>
          <w:szCs w:val="20"/>
        </w:rPr>
        <w:t>. Difficult site for landing and access to lava tubes at high altitude on volcanoes could be challenging.</w:t>
      </w:r>
    </w:p>
    <w:p w14:paraId="0418E644" w14:textId="618BBF13" w:rsidR="004F4333" w:rsidRPr="00E14704" w:rsidRDefault="004F4333">
      <w:pPr>
        <w:rPr>
          <w:rFonts w:ascii="Century Gothic" w:hAnsi="Century Gothic"/>
          <w:sz w:val="20"/>
          <w:szCs w:val="20"/>
        </w:rPr>
      </w:pPr>
    </w:p>
    <w:p w14:paraId="492E368F" w14:textId="4F8940A5" w:rsidR="002A041B" w:rsidRPr="00E14704" w:rsidRDefault="002A041B" w:rsidP="00C61E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14704">
        <w:rPr>
          <w:rFonts w:ascii="Century Gothic" w:hAnsi="Century Gothic"/>
          <w:b/>
          <w:bCs/>
          <w:sz w:val="20"/>
          <w:szCs w:val="20"/>
        </w:rPr>
        <w:t>Arabia Terra, northern highlands:</w:t>
      </w:r>
      <w:r w:rsidRPr="00E14704">
        <w:rPr>
          <w:rFonts w:ascii="Century Gothic" w:hAnsi="Century Gothic"/>
          <w:sz w:val="20"/>
          <w:szCs w:val="20"/>
        </w:rPr>
        <w:t xml:space="preserve"> </w:t>
      </w:r>
      <w:r w:rsidR="001E3E6A" w:rsidRPr="00E14704">
        <w:rPr>
          <w:rFonts w:ascii="Century Gothic" w:hAnsi="Century Gothic"/>
          <w:sz w:val="20"/>
          <w:szCs w:val="20"/>
        </w:rPr>
        <w:t xml:space="preserve">Plenty of safe landing sites. </w:t>
      </w:r>
      <w:r w:rsidRPr="00E14704">
        <w:rPr>
          <w:rFonts w:ascii="Century Gothic" w:hAnsi="Century Gothic"/>
          <w:sz w:val="20"/>
          <w:szCs w:val="20"/>
        </w:rPr>
        <w:t xml:space="preserve">High scientific interest due to ancient terrain and </w:t>
      </w:r>
      <w:r w:rsidR="001E3E6A" w:rsidRPr="00E14704">
        <w:rPr>
          <w:rFonts w:ascii="Century Gothic" w:hAnsi="Century Gothic"/>
          <w:sz w:val="20"/>
          <w:szCs w:val="20"/>
        </w:rPr>
        <w:t>evidence of water in Mars’s early history. Currently accessible water for life support locked in minerals, so relatively difficult to extract.</w:t>
      </w:r>
      <w:r w:rsidRPr="00E14704">
        <w:rPr>
          <w:rFonts w:ascii="Century Gothic" w:hAnsi="Century Gothic"/>
          <w:sz w:val="20"/>
          <w:szCs w:val="20"/>
        </w:rPr>
        <w:t xml:space="preserve"> </w:t>
      </w:r>
    </w:p>
    <w:p w14:paraId="0B9CE021" w14:textId="1166D1ED" w:rsidR="004F4333" w:rsidRPr="00E14704" w:rsidRDefault="004F4333">
      <w:pPr>
        <w:rPr>
          <w:rFonts w:ascii="Century Gothic" w:hAnsi="Century Gothic"/>
          <w:sz w:val="20"/>
          <w:szCs w:val="20"/>
        </w:rPr>
      </w:pPr>
    </w:p>
    <w:p w14:paraId="30903B21" w14:textId="48C2AFF9" w:rsidR="001E3E6A" w:rsidRPr="00E14704" w:rsidRDefault="001E3E6A" w:rsidP="00C61E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14704">
        <w:rPr>
          <w:rFonts w:ascii="Century Gothic" w:hAnsi="Century Gothic"/>
          <w:b/>
          <w:bCs/>
          <w:sz w:val="20"/>
          <w:szCs w:val="20"/>
        </w:rPr>
        <w:t>Hellas Basin:</w:t>
      </w:r>
      <w:r w:rsidRPr="00E14704">
        <w:rPr>
          <w:rFonts w:ascii="Century Gothic" w:hAnsi="Century Gothic"/>
          <w:sz w:val="20"/>
          <w:szCs w:val="20"/>
        </w:rPr>
        <w:t xml:space="preserve"> Almost certain access to water ice for life support in remnants of ancient glaciers. Safe landing sites some distance awa</w:t>
      </w:r>
      <w:r w:rsidR="00035CA5" w:rsidRPr="00E14704">
        <w:rPr>
          <w:rFonts w:ascii="Century Gothic" w:hAnsi="Century Gothic"/>
          <w:sz w:val="20"/>
          <w:szCs w:val="20"/>
        </w:rPr>
        <w:t>y. Crossing</w:t>
      </w:r>
      <w:r w:rsidRPr="00E14704">
        <w:rPr>
          <w:rFonts w:ascii="Century Gothic" w:hAnsi="Century Gothic"/>
          <w:sz w:val="20"/>
          <w:szCs w:val="20"/>
        </w:rPr>
        <w:t xml:space="preserve"> glaciers is dangerous.</w:t>
      </w:r>
    </w:p>
    <w:p w14:paraId="1FEED34B" w14:textId="282C9F37" w:rsidR="001E3E6A" w:rsidRPr="00E14704" w:rsidRDefault="001E3E6A">
      <w:pPr>
        <w:rPr>
          <w:rFonts w:ascii="Century Gothic" w:hAnsi="Century Gothic"/>
          <w:sz w:val="20"/>
          <w:szCs w:val="20"/>
        </w:rPr>
      </w:pPr>
    </w:p>
    <w:p w14:paraId="52E4D8F2" w14:textId="42C577CA" w:rsidR="001E3E6A" w:rsidRPr="00E14704" w:rsidRDefault="001E3E6A" w:rsidP="00C61E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14704">
        <w:rPr>
          <w:rFonts w:ascii="Century Gothic" w:hAnsi="Century Gothic"/>
          <w:b/>
          <w:bCs/>
          <w:sz w:val="20"/>
          <w:szCs w:val="20"/>
        </w:rPr>
        <w:t xml:space="preserve">Valles </w:t>
      </w:r>
      <w:proofErr w:type="spellStart"/>
      <w:r w:rsidRPr="00E14704">
        <w:rPr>
          <w:rFonts w:ascii="Century Gothic" w:hAnsi="Century Gothic"/>
          <w:b/>
          <w:bCs/>
          <w:sz w:val="20"/>
          <w:szCs w:val="20"/>
        </w:rPr>
        <w:t>Marineris</w:t>
      </w:r>
      <w:proofErr w:type="spellEnd"/>
      <w:r w:rsidRPr="00E14704">
        <w:rPr>
          <w:rFonts w:ascii="Century Gothic" w:hAnsi="Century Gothic"/>
          <w:b/>
          <w:bCs/>
          <w:sz w:val="20"/>
          <w:szCs w:val="20"/>
        </w:rPr>
        <w:t>:</w:t>
      </w:r>
      <w:r w:rsidRPr="00E14704">
        <w:rPr>
          <w:rFonts w:ascii="Century Gothic" w:hAnsi="Century Gothic"/>
          <w:sz w:val="20"/>
          <w:szCs w:val="20"/>
        </w:rPr>
        <w:t xml:space="preserve"> </w:t>
      </w:r>
      <w:r w:rsidR="006D33AE" w:rsidRPr="00E14704">
        <w:rPr>
          <w:rFonts w:ascii="Century Gothic" w:hAnsi="Century Gothic"/>
          <w:sz w:val="20"/>
          <w:szCs w:val="20"/>
        </w:rPr>
        <w:t xml:space="preserve">Daytime temperatures can reach cold, but bearable temperatures for humans. </w:t>
      </w:r>
      <w:r w:rsidRPr="00E14704">
        <w:rPr>
          <w:rFonts w:ascii="Century Gothic" w:hAnsi="Century Gothic"/>
          <w:sz w:val="20"/>
          <w:szCs w:val="20"/>
        </w:rPr>
        <w:t>High scientific interest</w:t>
      </w:r>
      <w:r w:rsidR="006D33AE" w:rsidRPr="00E14704">
        <w:rPr>
          <w:rFonts w:ascii="Century Gothic" w:hAnsi="Century Gothic"/>
          <w:sz w:val="20"/>
          <w:szCs w:val="20"/>
        </w:rPr>
        <w:t>. Possibility that liquid might reach the surface sometimes. Access difficult due to very deep canyon and potential crosswinds.</w:t>
      </w:r>
    </w:p>
    <w:p w14:paraId="4A53E84B" w14:textId="10036B01" w:rsidR="006D33AE" w:rsidRPr="00E14704" w:rsidRDefault="006D33AE">
      <w:pPr>
        <w:rPr>
          <w:rFonts w:ascii="Century Gothic" w:hAnsi="Century Gothic"/>
          <w:sz w:val="20"/>
          <w:szCs w:val="20"/>
        </w:rPr>
      </w:pPr>
    </w:p>
    <w:p w14:paraId="6E2CAC19" w14:textId="327CAD0D" w:rsidR="006D33AE" w:rsidRDefault="006D33AE" w:rsidP="00C61E3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14704">
        <w:rPr>
          <w:rFonts w:ascii="Century Gothic" w:hAnsi="Century Gothic"/>
          <w:b/>
          <w:bCs/>
          <w:sz w:val="20"/>
          <w:szCs w:val="20"/>
        </w:rPr>
        <w:t>Edge of north polar ice cap:</w:t>
      </w:r>
      <w:r w:rsidRPr="00E14704">
        <w:rPr>
          <w:rFonts w:ascii="Century Gothic" w:hAnsi="Century Gothic"/>
          <w:sz w:val="20"/>
          <w:szCs w:val="20"/>
        </w:rPr>
        <w:t xml:space="preserve"> Abundant water. Very flat for landing. </w:t>
      </w:r>
      <w:r w:rsidR="00C61E3C" w:rsidRPr="00E14704">
        <w:rPr>
          <w:rFonts w:ascii="Century Gothic" w:hAnsi="Century Gothic"/>
          <w:sz w:val="20"/>
          <w:szCs w:val="20"/>
        </w:rPr>
        <w:t xml:space="preserve">Continuous daylight </w:t>
      </w:r>
      <w:r w:rsidR="00035CA5" w:rsidRPr="00E14704">
        <w:rPr>
          <w:rFonts w:ascii="Century Gothic" w:hAnsi="Century Gothic"/>
          <w:sz w:val="20"/>
          <w:szCs w:val="20"/>
        </w:rPr>
        <w:t>in</w:t>
      </w:r>
      <w:r w:rsidR="000705AE" w:rsidRPr="00E14704">
        <w:rPr>
          <w:rFonts w:ascii="Century Gothic" w:hAnsi="Century Gothic"/>
          <w:sz w:val="20"/>
          <w:szCs w:val="20"/>
        </w:rPr>
        <w:t xml:space="preserve"> summer</w:t>
      </w:r>
      <w:r w:rsidR="00C61E3C" w:rsidRPr="00E14704">
        <w:rPr>
          <w:rFonts w:ascii="Century Gothic" w:hAnsi="Century Gothic"/>
          <w:sz w:val="20"/>
          <w:szCs w:val="20"/>
        </w:rPr>
        <w:t xml:space="preserve"> half </w:t>
      </w:r>
      <w:r w:rsidR="000705AE" w:rsidRPr="00E14704">
        <w:rPr>
          <w:rFonts w:ascii="Century Gothic" w:hAnsi="Century Gothic"/>
          <w:sz w:val="20"/>
          <w:szCs w:val="20"/>
        </w:rPr>
        <w:t xml:space="preserve">of </w:t>
      </w:r>
      <w:r w:rsidR="00C61E3C" w:rsidRPr="00E14704">
        <w:rPr>
          <w:rFonts w:ascii="Century Gothic" w:hAnsi="Century Gothic"/>
          <w:sz w:val="20"/>
          <w:szCs w:val="20"/>
        </w:rPr>
        <w:t xml:space="preserve">each year, enabling direct-to-Earth communications (all other sites need relay by orbiters). </w:t>
      </w:r>
      <w:r w:rsidR="000705AE" w:rsidRPr="00E14704">
        <w:rPr>
          <w:rFonts w:ascii="Century Gothic" w:hAnsi="Century Gothic"/>
          <w:sz w:val="20"/>
          <w:szCs w:val="20"/>
        </w:rPr>
        <w:t>Continuous dark</w:t>
      </w:r>
      <w:r w:rsidR="00035CA5" w:rsidRPr="00E14704">
        <w:rPr>
          <w:rFonts w:ascii="Century Gothic" w:hAnsi="Century Gothic"/>
          <w:sz w:val="20"/>
          <w:szCs w:val="20"/>
        </w:rPr>
        <w:t>ness</w:t>
      </w:r>
      <w:r w:rsidR="000705AE" w:rsidRPr="00E14704">
        <w:rPr>
          <w:rFonts w:ascii="Century Gothic" w:hAnsi="Century Gothic"/>
          <w:sz w:val="20"/>
          <w:szCs w:val="20"/>
        </w:rPr>
        <w:t xml:space="preserve"> </w:t>
      </w:r>
      <w:r w:rsidR="00035CA5" w:rsidRPr="00E14704">
        <w:rPr>
          <w:rFonts w:ascii="Century Gothic" w:hAnsi="Century Gothic"/>
          <w:sz w:val="20"/>
          <w:szCs w:val="20"/>
        </w:rPr>
        <w:t>in</w:t>
      </w:r>
      <w:r w:rsidR="000705AE" w:rsidRPr="00E14704">
        <w:rPr>
          <w:rFonts w:ascii="Century Gothic" w:hAnsi="Century Gothic"/>
          <w:sz w:val="20"/>
          <w:szCs w:val="20"/>
        </w:rPr>
        <w:t xml:space="preserve"> </w:t>
      </w:r>
      <w:r w:rsidR="000705AE" w:rsidRPr="00E14704">
        <w:rPr>
          <w:rFonts w:ascii="Century Gothic" w:hAnsi="Century Gothic"/>
          <w:sz w:val="20"/>
          <w:szCs w:val="20"/>
        </w:rPr>
        <w:t xml:space="preserve">winter </w:t>
      </w:r>
      <w:r w:rsidR="000705AE" w:rsidRPr="00E14704">
        <w:rPr>
          <w:rFonts w:ascii="Century Gothic" w:hAnsi="Century Gothic"/>
          <w:sz w:val="20"/>
          <w:szCs w:val="20"/>
        </w:rPr>
        <w:t xml:space="preserve">half </w:t>
      </w:r>
      <w:r w:rsidR="000705AE" w:rsidRPr="00E14704">
        <w:rPr>
          <w:rFonts w:ascii="Century Gothic" w:hAnsi="Century Gothic"/>
          <w:sz w:val="20"/>
          <w:szCs w:val="20"/>
        </w:rPr>
        <w:t xml:space="preserve">of </w:t>
      </w:r>
      <w:r w:rsidR="000705AE" w:rsidRPr="00E14704">
        <w:rPr>
          <w:rFonts w:ascii="Century Gothic" w:hAnsi="Century Gothic"/>
          <w:sz w:val="20"/>
          <w:szCs w:val="20"/>
        </w:rPr>
        <w:t>each year</w:t>
      </w:r>
      <w:r w:rsidR="000705AE" w:rsidRPr="00E14704">
        <w:rPr>
          <w:rFonts w:ascii="Century Gothic" w:hAnsi="Century Gothic"/>
          <w:sz w:val="20"/>
          <w:szCs w:val="20"/>
        </w:rPr>
        <w:t>, making it v</w:t>
      </w:r>
      <w:r w:rsidR="00C61E3C" w:rsidRPr="00E14704">
        <w:rPr>
          <w:rFonts w:ascii="Century Gothic" w:hAnsi="Century Gothic"/>
          <w:sz w:val="20"/>
          <w:szCs w:val="20"/>
        </w:rPr>
        <w:t xml:space="preserve">ery cold for humans. </w:t>
      </w:r>
    </w:p>
    <w:p w14:paraId="62A9CB07" w14:textId="77777777" w:rsidR="00E14704" w:rsidRPr="00E14704" w:rsidRDefault="00E14704" w:rsidP="00E14704">
      <w:pPr>
        <w:pStyle w:val="ListParagraph"/>
        <w:rPr>
          <w:rFonts w:ascii="Century Gothic" w:hAnsi="Century Gothic"/>
          <w:sz w:val="20"/>
          <w:szCs w:val="20"/>
        </w:rPr>
      </w:pPr>
    </w:p>
    <w:p w14:paraId="06E30611" w14:textId="0F9B1637" w:rsidR="00DE7CE9" w:rsidRDefault="00DE7CE9">
      <w:pPr>
        <w:rPr>
          <w:rFonts w:ascii="Century Gothic" w:hAnsi="Century Gothic"/>
          <w:sz w:val="20"/>
          <w:szCs w:val="20"/>
        </w:rPr>
      </w:pPr>
      <w:hyperlink r:id="rId7" w:history="1">
        <w:r w:rsidRPr="00DE7CE9">
          <w:rPr>
            <w:rStyle w:val="Hyperlink"/>
            <w:rFonts w:ascii="Century Gothic" w:hAnsi="Century Gothic"/>
            <w:sz w:val="20"/>
            <w:szCs w:val="20"/>
          </w:rPr>
          <w:t>More information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3430BEBD" w14:textId="77777777" w:rsidR="00DE7CE9" w:rsidRPr="00E14704" w:rsidRDefault="00DE7CE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E14704" w:rsidRPr="00604247" w14:paraId="27478A7E" w14:textId="77777777" w:rsidTr="004F4333">
        <w:tc>
          <w:tcPr>
            <w:tcW w:w="1501" w:type="dxa"/>
          </w:tcPr>
          <w:p w14:paraId="04C4A3A3" w14:textId="20DFF4A1" w:rsidR="004F4333" w:rsidRPr="00604247" w:rsidRDefault="004F433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Consideration</w:t>
            </w:r>
          </w:p>
        </w:tc>
        <w:tc>
          <w:tcPr>
            <w:tcW w:w="1501" w:type="dxa"/>
          </w:tcPr>
          <w:p w14:paraId="06C65EAA" w14:textId="50131353" w:rsidR="004F4333" w:rsidRPr="00604247" w:rsidRDefault="000705AE" w:rsidP="000705AE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1) </w:t>
            </w:r>
            <w:r w:rsidR="004F4333"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Lava tube at Pavonis Mons</w:t>
            </w:r>
          </w:p>
        </w:tc>
        <w:tc>
          <w:tcPr>
            <w:tcW w:w="1502" w:type="dxa"/>
          </w:tcPr>
          <w:p w14:paraId="032A46F3" w14:textId="315157AF" w:rsidR="004F4333" w:rsidRPr="00604247" w:rsidRDefault="000705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) </w:t>
            </w:r>
            <w:r w:rsidR="004F4333"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Arabia Terra</w:t>
            </w:r>
          </w:p>
        </w:tc>
        <w:tc>
          <w:tcPr>
            <w:tcW w:w="1502" w:type="dxa"/>
          </w:tcPr>
          <w:p w14:paraId="07F08BAF" w14:textId="60CACF52" w:rsidR="004F4333" w:rsidRPr="00604247" w:rsidRDefault="000705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) </w:t>
            </w:r>
            <w:r w:rsidR="004F4333"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Hellas Basin</w:t>
            </w:r>
          </w:p>
        </w:tc>
        <w:tc>
          <w:tcPr>
            <w:tcW w:w="1502" w:type="dxa"/>
          </w:tcPr>
          <w:p w14:paraId="322B5CEB" w14:textId="4ADFBD69" w:rsidR="004F4333" w:rsidRPr="00604247" w:rsidRDefault="000705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) </w:t>
            </w:r>
            <w:r w:rsidR="004F4333"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Valles </w:t>
            </w:r>
            <w:proofErr w:type="spellStart"/>
            <w:r w:rsidR="004F4333"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Marineris</w:t>
            </w:r>
            <w:proofErr w:type="spellEnd"/>
          </w:p>
        </w:tc>
        <w:tc>
          <w:tcPr>
            <w:tcW w:w="1502" w:type="dxa"/>
          </w:tcPr>
          <w:p w14:paraId="44987183" w14:textId="0C6A7B4F" w:rsidR="004F4333" w:rsidRPr="00604247" w:rsidRDefault="000705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  <w:r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) </w:t>
            </w:r>
            <w:r w:rsidR="004F4333" w:rsidRPr="00604247">
              <w:rPr>
                <w:rFonts w:ascii="Century Gothic" w:hAnsi="Century Gothic"/>
                <w:b/>
                <w:bCs/>
                <w:sz w:val="18"/>
                <w:szCs w:val="18"/>
              </w:rPr>
              <w:t>North polar ice cap</w:t>
            </w:r>
          </w:p>
        </w:tc>
      </w:tr>
      <w:tr w:rsidR="00E14704" w:rsidRPr="00604247" w14:paraId="0F429B44" w14:textId="77777777" w:rsidTr="004F4333">
        <w:tc>
          <w:tcPr>
            <w:tcW w:w="1501" w:type="dxa"/>
          </w:tcPr>
          <w:p w14:paraId="7E98C21C" w14:textId="4D24A676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  <w:r w:rsidRPr="00604247">
              <w:rPr>
                <w:rFonts w:ascii="Century Gothic" w:hAnsi="Century Gothic"/>
                <w:sz w:val="18"/>
                <w:szCs w:val="18"/>
              </w:rPr>
              <w:t>Access to water and life-support materials</w:t>
            </w:r>
          </w:p>
        </w:tc>
        <w:tc>
          <w:tcPr>
            <w:tcW w:w="1501" w:type="dxa"/>
          </w:tcPr>
          <w:p w14:paraId="455BB12B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9A8A858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64F1D20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41D1058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08D0E5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4704" w:rsidRPr="00604247" w14:paraId="2C2A95AB" w14:textId="77777777" w:rsidTr="004F4333">
        <w:tc>
          <w:tcPr>
            <w:tcW w:w="1501" w:type="dxa"/>
          </w:tcPr>
          <w:p w14:paraId="094B2A6A" w14:textId="76B6ADC5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  <w:r w:rsidRPr="00604247">
              <w:rPr>
                <w:rFonts w:ascii="Century Gothic" w:hAnsi="Century Gothic"/>
                <w:sz w:val="18"/>
                <w:szCs w:val="18"/>
              </w:rPr>
              <w:t>Safety for landing</w:t>
            </w:r>
          </w:p>
        </w:tc>
        <w:tc>
          <w:tcPr>
            <w:tcW w:w="1501" w:type="dxa"/>
          </w:tcPr>
          <w:p w14:paraId="23A6EC84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5CC4CC8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9AA83C7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8E2B15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2178A8A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4704" w:rsidRPr="00604247" w14:paraId="1C59E69D" w14:textId="77777777" w:rsidTr="004F4333">
        <w:tc>
          <w:tcPr>
            <w:tcW w:w="1501" w:type="dxa"/>
          </w:tcPr>
          <w:p w14:paraId="78BC8A2C" w14:textId="0CC20C4C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  <w:r w:rsidRPr="00604247">
              <w:rPr>
                <w:rFonts w:ascii="Century Gothic" w:hAnsi="Century Gothic"/>
                <w:sz w:val="18"/>
                <w:szCs w:val="18"/>
              </w:rPr>
              <w:t>Safety of environment for humans</w:t>
            </w:r>
          </w:p>
        </w:tc>
        <w:tc>
          <w:tcPr>
            <w:tcW w:w="1501" w:type="dxa"/>
          </w:tcPr>
          <w:p w14:paraId="740DBE01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E3F2EAA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8EE04CD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3B0C89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5C9201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4704" w:rsidRPr="00604247" w14:paraId="1E661512" w14:textId="77777777" w:rsidTr="004F4333">
        <w:tc>
          <w:tcPr>
            <w:tcW w:w="1501" w:type="dxa"/>
          </w:tcPr>
          <w:p w14:paraId="3FF0DBFE" w14:textId="31822294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  <w:r w:rsidRPr="00604247">
              <w:rPr>
                <w:rFonts w:ascii="Century Gothic" w:hAnsi="Century Gothic"/>
                <w:sz w:val="18"/>
                <w:szCs w:val="18"/>
              </w:rPr>
              <w:t>Scientific interest</w:t>
            </w:r>
          </w:p>
        </w:tc>
        <w:tc>
          <w:tcPr>
            <w:tcW w:w="1501" w:type="dxa"/>
          </w:tcPr>
          <w:p w14:paraId="163479A4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62B3E4C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401F2E0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9CF7297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66BBE07" w14:textId="77777777" w:rsidR="004F4333" w:rsidRPr="00604247" w:rsidRDefault="004F433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590FFE" w14:textId="4A755E35" w:rsidR="004F4333" w:rsidRDefault="004F4333">
      <w:pPr>
        <w:rPr>
          <w:rFonts w:ascii="Century Gothic" w:hAnsi="Century Gothic"/>
          <w:sz w:val="20"/>
          <w:szCs w:val="20"/>
        </w:rPr>
      </w:pPr>
    </w:p>
    <w:p w14:paraId="13ABF5F7" w14:textId="0762FDD9" w:rsidR="00E14704" w:rsidRDefault="00604247" w:rsidP="00604247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 will you site your Mars base? What is your rationale?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04247" w14:paraId="71E73D33" w14:textId="77777777" w:rsidTr="00604247">
        <w:trPr>
          <w:trHeight w:val="2533"/>
        </w:trPr>
        <w:tc>
          <w:tcPr>
            <w:tcW w:w="9010" w:type="dxa"/>
          </w:tcPr>
          <w:p w14:paraId="2A845D19" w14:textId="77777777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63AEAD" w14:textId="77777777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F87F7B" w14:textId="77777777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339AEE" w14:textId="552CAD14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688D7F" w14:textId="77777777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B34DA2" w14:textId="38992A32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B4E8FF" w14:textId="77777777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F2914B" w14:textId="77777777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A69D23" w14:textId="1484B3CE" w:rsidR="00604247" w:rsidRDefault="006042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B110BF" w14:textId="77777777" w:rsidR="00604247" w:rsidRPr="00E14704" w:rsidRDefault="00604247">
      <w:pPr>
        <w:rPr>
          <w:rFonts w:ascii="Century Gothic" w:hAnsi="Century Gothic"/>
          <w:sz w:val="20"/>
          <w:szCs w:val="20"/>
        </w:rPr>
      </w:pPr>
    </w:p>
    <w:sectPr w:rsidR="00604247" w:rsidRPr="00E14704" w:rsidSect="00604247">
      <w:headerReference w:type="default" r:id="rId8"/>
      <w:pgSz w:w="11900" w:h="16840"/>
      <w:pgMar w:top="1440" w:right="1440" w:bottom="106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6754" w14:textId="77777777" w:rsidR="008A3141" w:rsidRDefault="008A3141" w:rsidP="006D33AE">
      <w:r>
        <w:separator/>
      </w:r>
    </w:p>
  </w:endnote>
  <w:endnote w:type="continuationSeparator" w:id="0">
    <w:p w14:paraId="03C2112F" w14:textId="77777777" w:rsidR="008A3141" w:rsidRDefault="008A3141" w:rsidP="006D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AE29" w14:textId="77777777" w:rsidR="008A3141" w:rsidRDefault="008A3141" w:rsidP="006D33AE">
      <w:r>
        <w:separator/>
      </w:r>
    </w:p>
  </w:footnote>
  <w:footnote w:type="continuationSeparator" w:id="0">
    <w:p w14:paraId="2F035F62" w14:textId="77777777" w:rsidR="008A3141" w:rsidRDefault="008A3141" w:rsidP="006D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E3C4" w14:textId="780031C8" w:rsidR="006D33AE" w:rsidRPr="006D33AE" w:rsidRDefault="006D33AE" w:rsidP="006D33AE">
    <w:pPr>
      <w:pStyle w:val="Header"/>
      <w:tabs>
        <w:tab w:val="clear" w:pos="9026"/>
      </w:tabs>
      <w:ind w:left="-1440" w:right="-1186"/>
    </w:pPr>
    <w:r>
      <w:rPr>
        <w:noProof/>
      </w:rPr>
      <w:drawing>
        <wp:inline distT="0" distB="0" distL="0" distR="0" wp14:anchorId="3A82C290" wp14:editId="3848F034">
          <wp:extent cx="7573252" cy="9495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797" cy="96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52E7"/>
    <w:multiLevelType w:val="hybridMultilevel"/>
    <w:tmpl w:val="4228779A"/>
    <w:lvl w:ilvl="0" w:tplc="89063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4C77"/>
    <w:multiLevelType w:val="hybridMultilevel"/>
    <w:tmpl w:val="57026260"/>
    <w:lvl w:ilvl="0" w:tplc="8230E3D8">
      <w:start w:val="1"/>
      <w:numFmt w:val="decimal"/>
      <w:lvlText w:val="%1)"/>
      <w:lvlJc w:val="left"/>
      <w:pPr>
        <w:ind w:left="170" w:firstLine="1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7EB65937"/>
    <w:multiLevelType w:val="hybridMultilevel"/>
    <w:tmpl w:val="7A8EF5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33"/>
    <w:rsid w:val="00035CA5"/>
    <w:rsid w:val="000705AE"/>
    <w:rsid w:val="001E3E6A"/>
    <w:rsid w:val="00227F52"/>
    <w:rsid w:val="002A041B"/>
    <w:rsid w:val="00387CE2"/>
    <w:rsid w:val="004F4333"/>
    <w:rsid w:val="00604247"/>
    <w:rsid w:val="00613BF0"/>
    <w:rsid w:val="006D33AE"/>
    <w:rsid w:val="008502BF"/>
    <w:rsid w:val="008A3141"/>
    <w:rsid w:val="00AD3CEC"/>
    <w:rsid w:val="00C61E3C"/>
    <w:rsid w:val="00DE7CE9"/>
    <w:rsid w:val="00E14704"/>
    <w:rsid w:val="00E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66F6B"/>
  <w15:chartTrackingRefBased/>
  <w15:docId w15:val="{11B44453-8546-9B41-85BF-31A9B77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AE"/>
  </w:style>
  <w:style w:type="paragraph" w:styleId="Footer">
    <w:name w:val="footer"/>
    <w:basedOn w:val="Normal"/>
    <w:link w:val="FooterChar"/>
    <w:uiPriority w:val="99"/>
    <w:unhideWhenUsed/>
    <w:rsid w:val="006D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3AE"/>
  </w:style>
  <w:style w:type="paragraph" w:styleId="ListParagraph">
    <w:name w:val="List Paragraph"/>
    <w:basedOn w:val="Normal"/>
    <w:uiPriority w:val="34"/>
    <w:qFormat/>
    <w:rsid w:val="00C61E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brucedorminey/2014/12/09/5-top-landing-sites-for-a-manned-mission-to-mars/?sh=304bab823c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Heward</dc:creator>
  <cp:keywords/>
  <dc:description/>
  <cp:lastModifiedBy>Anita Heward</cp:lastModifiedBy>
  <cp:revision>3</cp:revision>
  <dcterms:created xsi:type="dcterms:W3CDTF">2022-03-13T14:14:00Z</dcterms:created>
  <dcterms:modified xsi:type="dcterms:W3CDTF">2022-03-13T17:39:00Z</dcterms:modified>
</cp:coreProperties>
</file>